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湖北凯耀宏建设工程有限公司广华拌和站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年产15万m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预拌混凝土项目</w:t>
      </w:r>
      <w:r>
        <w:rPr>
          <w:rFonts w:hint="default"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竣工环境保护验收意见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湖北凯耀宏建设工程有限公司广华拌和站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建设项目竣工环境保护验收暂行办法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并对照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《湖北凯耀宏建设工程有限公司广华拌和站年产15万m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预拌混凝土项目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竣工环境保护验收监测报告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，严格依照国家有关法律法规、建设项目竣工环境保护验收技术规范/指南、本项目环境影响报告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和审批部门审批决定等要求对本项目进行验收，提出验收意见如下：</w:t>
      </w:r>
    </w:p>
    <w:p>
      <w:pPr>
        <w:pStyle w:val="4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一、工程建设基本情况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1、建设地点、规模、主要建设内容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本项目位于</w:t>
      </w:r>
      <w:r>
        <w:rPr>
          <w:rFonts w:hint="default" w:ascii="Times New Roman" w:hAnsi="Times New Roman" w:cs="Times New Roman"/>
          <w:sz w:val="24"/>
        </w:rPr>
        <w:t>潜江市广华五七采油四路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属于新建项目。项目建成投产后年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产预拌混凝土15万m</w:t>
      </w:r>
      <w:r>
        <w:rPr>
          <w:rFonts w:hint="eastAsia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项目主要建设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内容包括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主体工程、公用工程、辅助工程及环保工程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主要布置有搅拌楼、料场、仓库、生产车间、仓库、办公室、宿舍等</w:t>
      </w:r>
      <w:r>
        <w:rPr>
          <w:rFonts w:hint="default" w:ascii="Times New Roman" w:hAnsi="Times New Roman" w:cs="Times New Roman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2、建设过程及环保审批情况</w:t>
      </w:r>
    </w:p>
    <w:p>
      <w:pPr>
        <w:pStyle w:val="7"/>
        <w:ind w:firstLine="480"/>
        <w:rPr>
          <w:rFonts w:hint="eastAsia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湖北凯耀宏建设工程有限公司广华拌和站于2020年4月委托湖北星瑞环保有限公司对该公司“年产15万m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预拌混凝土项目”进行环境影响评价，编制完成《年产15万m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预拌混凝土项目环境影响报告表》，且于2020年5月取得市生态环境局“关于湖北凯耀宏建设工程有限公司广华拌合站年产15万m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预拌混凝土项目环境影响报告表的批复”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3、投资情况</w:t>
      </w:r>
    </w:p>
    <w:p>
      <w:pPr>
        <w:pStyle w:val="7"/>
        <w:ind w:firstLine="480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项目设计投资2000万元，环保投资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万元，约占总投资的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%；项目实际总投资为2000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万元，环保设施投资为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万元，约占总投资的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%。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4、验收范围</w:t>
      </w:r>
    </w:p>
    <w:p>
      <w:pPr>
        <w:pStyle w:val="7"/>
        <w:ind w:firstLine="48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验收范围为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年产15万m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预拌混凝土项目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相关内容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二、工程变动情况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项目实际建设过程中，主要变更如下：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①办公楼及宿舍楼合建，未单独设置；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②原环评中筒仓粉尘经仓顶除尘器处理后不低于15m排气筒排放，实际未设置排气筒，筒仓粉尘经仓顶除尘器处理后直接高空排放；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③原环评设计搅拌工序粉尘经自带除尘器处理后不低于15m排气筒排放，实际建设过程中搅拌楼封闭，经自带除尘器处理后直接排放。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对照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环办[2015]52号《关于印发环评管理中部分行业建设项目重大变动清单的通知》，上述变动不属于重大变动。</w:t>
      </w:r>
    </w:p>
    <w:p>
      <w:pPr>
        <w:pStyle w:val="4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三、环境保护设施建设情况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1、废水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本项目废水主要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包括食堂废水、生活污水、生产废水（罐车清洗废水、设备清洗废水、作业区地面冲洗废水、车辆冲洗废水）以及初期雨水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其中食堂废水产生量为480m</w:t>
      </w:r>
      <w:r>
        <w:rPr>
          <w:rFonts w:hint="eastAsia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/a，生活污水产生量为840m</w:t>
      </w:r>
      <w:r>
        <w:rPr>
          <w:rFonts w:hint="eastAsia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/a，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主要污染物为COD、BOD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、SS、氨氮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动植物油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食堂废水经隔油池处理后与生活污水共同进入化粪池处理，用于周边农田施肥。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罐车清洗废水产生量为500m</w:t>
      </w:r>
      <w:r>
        <w:rPr>
          <w:rFonts w:hint="eastAsia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/a，搅拌设备清洗废水量为240m</w:t>
      </w:r>
      <w:r>
        <w:rPr>
          <w:rFonts w:hint="eastAsia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/a，搅拌区地面冲洗废水量为5400m</w:t>
      </w:r>
      <w:r>
        <w:rPr>
          <w:rFonts w:hint="eastAsia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/a，主要污染物为SS，经污水处理设备处理后回用于生产。车辆冲洗废水产生量为1134m</w:t>
      </w:r>
      <w:r>
        <w:rPr>
          <w:rFonts w:hint="eastAsia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/a，经沉淀池处理后进入集水池，回用于生产。初期雨水经沉淀收集后回用于生产。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2、废气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本项目运行期产生的废气主要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lang w:val="en-US" w:eastAsia="zh-CN"/>
        </w:rPr>
        <w:t>筒仓粉尘、搅拌粉尘、料场粉尘、运输扬尘和食堂油烟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其中筒仓粉尘经筒仓自带仓顶除尘器处理后排放。搅拌工序粉尘经搅拌机配备的袋式除尘器处理后楼顶排放。料仓全封闭，仅留进出口通道，同时配备喷雾机对堆场进水洒水抑尘，减少起尘量。定期对厂区地面进行洒水降尘，减少运输扬尘产生。食堂油烟经油烟净化设施处理后排放。</w:t>
      </w:r>
    </w:p>
    <w:p>
      <w:pPr>
        <w:pStyle w:val="5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3、噪声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本项目项目营运期间产生的噪声主要来</w:t>
      </w:r>
      <w:r>
        <w:rPr>
          <w:rFonts w:ascii="Times New Roman" w:hAnsi="Times New Roman" w:cs="Times New Roman"/>
          <w:color w:val="000000"/>
        </w:rPr>
        <w:t>生产设备运转时产生的噪声，噪声源强约7</w:t>
      </w:r>
      <w:r>
        <w:rPr>
          <w:rFonts w:hint="eastAsia"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~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90</w:t>
      </w:r>
      <w:r>
        <w:rPr>
          <w:rFonts w:ascii="Times New Roman" w:hAnsi="Times New Roman" w:cs="Times New Roman"/>
          <w:color w:val="000000"/>
        </w:rPr>
        <w:t>dB（A）。建设方拟采取选用低噪声设备、基础减振、厂房隔声、合理布局等措施减少对周围环境的影响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、固体废物</w:t>
      </w:r>
    </w:p>
    <w:p>
      <w:pPr>
        <w:pStyle w:val="41"/>
        <w:ind w:firstLineChars="0"/>
        <w:rPr>
          <w:color w:val="000000"/>
        </w:rPr>
      </w:pPr>
      <w:r>
        <w:rPr>
          <w:color w:val="000000"/>
        </w:rPr>
        <w:t>项目营运过程产生的固体废物主要为</w:t>
      </w:r>
      <w:r>
        <w:rPr>
          <w:rFonts w:hint="eastAsia"/>
          <w:color w:val="000000"/>
        </w:rPr>
        <w:t>生活垃圾、</w:t>
      </w:r>
      <w:r>
        <w:rPr>
          <w:rFonts w:hint="eastAsia"/>
          <w:color w:val="000000"/>
          <w:lang w:val="en-US" w:eastAsia="zh-CN"/>
        </w:rPr>
        <w:t>一般固废及危险废物</w:t>
      </w:r>
      <w:r>
        <w:rPr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/>
          <w:szCs w:val="24"/>
          <w:lang w:val="en-GB"/>
        </w:rPr>
        <w:t>本项目生活垃圾的产生量为</w:t>
      </w:r>
      <w:r>
        <w:rPr>
          <w:rFonts w:hint="eastAsia"/>
          <w:color w:val="000000"/>
          <w:szCs w:val="24"/>
          <w:lang w:val="en-US" w:eastAsia="zh-CN"/>
        </w:rPr>
        <w:t>6</w:t>
      </w:r>
      <w:r>
        <w:rPr>
          <w:color w:val="000000"/>
          <w:szCs w:val="24"/>
          <w:lang w:val="en-GB"/>
        </w:rPr>
        <w:t>t/a</w:t>
      </w:r>
      <w:r>
        <w:rPr>
          <w:rFonts w:hint="eastAsia"/>
          <w:color w:val="000000"/>
          <w:szCs w:val="24"/>
          <w:lang w:val="en-GB"/>
        </w:rPr>
        <w:t>，</w:t>
      </w:r>
      <w:r>
        <w:rPr>
          <w:rFonts w:hint="eastAsia"/>
          <w:color w:val="000000"/>
          <w:szCs w:val="24"/>
          <w:lang w:val="en-US" w:eastAsia="zh-CN"/>
        </w:rPr>
        <w:t>含油抹布产生量为0.015t/a，</w:t>
      </w:r>
      <w:r>
        <w:rPr>
          <w:rFonts w:hint="eastAsia"/>
          <w:color w:val="000000"/>
          <w:szCs w:val="24"/>
        </w:rPr>
        <w:t>交由环卫部门清运</w:t>
      </w:r>
      <w:r>
        <w:rPr>
          <w:color w:val="000000"/>
          <w:szCs w:val="24"/>
          <w:lang w:val="en-GB"/>
        </w:rPr>
        <w:t>。</w:t>
      </w:r>
      <w:r>
        <w:rPr>
          <w:rFonts w:hint="eastAsia"/>
          <w:color w:val="000000"/>
          <w:szCs w:val="24"/>
          <w:lang w:val="en-US" w:eastAsia="zh-CN"/>
        </w:rPr>
        <w:t>废弃混凝土块产生量为505t/a，外售综合利用。沉淀池沉渣产生量为26.393t/a，除尘设备收集粉尘39.831t/a，地面降尘量3.168t/a</w:t>
      </w:r>
      <w:r>
        <w:rPr>
          <w:rFonts w:hint="eastAsia"/>
          <w:color w:val="000000"/>
          <w:szCs w:val="24"/>
        </w:rPr>
        <w:t>，统一收集后</w:t>
      </w:r>
      <w:r>
        <w:rPr>
          <w:rFonts w:hint="eastAsia"/>
          <w:color w:val="000000"/>
          <w:szCs w:val="24"/>
          <w:lang w:val="en-US" w:eastAsia="zh-CN"/>
        </w:rPr>
        <w:t>回用于生产。机修废油产生量为0.05t/a，交由有资质单位处置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四、环境保护设施调试效果</w:t>
      </w:r>
    </w:p>
    <w:p>
      <w:pPr>
        <w:pStyle w:val="5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1、废水</w:t>
      </w:r>
    </w:p>
    <w:p>
      <w:pPr>
        <w:pStyle w:val="10"/>
        <w:spacing w:line="360" w:lineRule="auto"/>
        <w:ind w:firstLine="48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现场检查可知，项目食堂废水经隔油池处理后与生活污水共同进入化粪池处理，用于周边农田施肥。罐车清洗废水、搅拌设备清洗废水、搅拌区地面冲洗废水量、经污水处理设备处理后回用于生产。车辆冲洗废水、经沉淀池处理后进入集水池，回用于生产。初期雨水经沉淀收集后回用于生产。</w:t>
      </w:r>
    </w:p>
    <w:p>
      <w:pPr>
        <w:pStyle w:val="5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2、废气</w:t>
      </w:r>
    </w:p>
    <w:p>
      <w:pPr>
        <w:pStyle w:val="10"/>
        <w:spacing w:line="360" w:lineRule="auto"/>
        <w:ind w:firstLine="48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验收结果表明，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无组织排放颗粒物排放浓度范围为0.1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mg/m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~0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.426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mg/m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，满足《水泥工业大气污染物排放标准》（GB4915-2013）表3无组织排放监控浓度限值。</w:t>
      </w:r>
    </w:p>
    <w:p>
      <w:pPr>
        <w:pStyle w:val="5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3、厂界噪声</w:t>
      </w:r>
    </w:p>
    <w:p>
      <w:pPr>
        <w:pStyle w:val="10"/>
        <w:spacing w:line="360" w:lineRule="auto"/>
        <w:ind w:firstLine="48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验收检查结果表明，项目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厂界昼间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噪声监测范围分别为56.3dB（A）~58.5dB（A）；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夜间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范围分别为46.7dB（A）~48.3dB（A），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《工业企业厂界环境噪声排放标准》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GB12348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类功能区排放限值要求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固体废物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根据现场检查可知，</w:t>
      </w:r>
      <w:r>
        <w:rPr>
          <w:color w:val="000000"/>
          <w:szCs w:val="24"/>
          <w:lang w:val="en-GB"/>
        </w:rPr>
        <w:t>本项目生活垃圾</w:t>
      </w:r>
      <w:r>
        <w:rPr>
          <w:rFonts w:hint="eastAsia"/>
          <w:color w:val="000000"/>
          <w:szCs w:val="24"/>
          <w:lang w:val="en-GB" w:eastAsia="zh-CN"/>
        </w:rPr>
        <w:t>、</w:t>
      </w:r>
      <w:r>
        <w:rPr>
          <w:rFonts w:hint="eastAsia"/>
          <w:color w:val="000000"/>
          <w:szCs w:val="24"/>
          <w:lang w:val="en-US" w:eastAsia="zh-CN"/>
        </w:rPr>
        <w:t>含油抹布</w:t>
      </w:r>
      <w:r>
        <w:rPr>
          <w:rFonts w:hint="eastAsia"/>
          <w:color w:val="000000"/>
          <w:szCs w:val="24"/>
        </w:rPr>
        <w:t>交由环卫部门清运</w:t>
      </w:r>
      <w:r>
        <w:rPr>
          <w:color w:val="000000"/>
          <w:szCs w:val="24"/>
          <w:lang w:val="en-GB"/>
        </w:rPr>
        <w:t>。</w:t>
      </w:r>
      <w:r>
        <w:rPr>
          <w:rFonts w:hint="eastAsia"/>
          <w:color w:val="000000"/>
          <w:szCs w:val="24"/>
          <w:lang w:val="en-US" w:eastAsia="zh-CN"/>
        </w:rPr>
        <w:t>废弃混凝土块外售综合利用。沉淀池沉渣、除尘设备收集粉尘、地面降尘、</w:t>
      </w:r>
      <w:r>
        <w:rPr>
          <w:rFonts w:hint="eastAsia"/>
          <w:color w:val="000000"/>
          <w:szCs w:val="24"/>
        </w:rPr>
        <w:t>统一收集后</w:t>
      </w:r>
      <w:r>
        <w:rPr>
          <w:rFonts w:hint="eastAsia"/>
          <w:color w:val="000000"/>
          <w:szCs w:val="24"/>
          <w:lang w:val="en-US" w:eastAsia="zh-CN"/>
        </w:rPr>
        <w:t>回用于生产。机修废油交由有资质单位处置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1"/>
        </w:numPr>
        <w:spacing w:before="156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进一步完善的工作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规范化建设危险废物暂存间，并加强对危险废物的管理措施，妥善暂存和处置，做好危险废物情况记录，详细记录危废产生量，做好相应台账，定期转运交由相应资质单位处理。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、验收结论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湖北凯耀宏建设工程有限公司广华拌和站年产15万m3预拌混凝土项目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竣工环境保护手续齐全，基本落实了环评及批复中规定的各项环保措施，竣工验收监测条件符合《建设项目竣工环境保护验收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暂行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办法》的相关规定，主要污染物实现了达标排放。</w:t>
      </w:r>
      <w:r>
        <w:t>在完成验收工作组提出的</w:t>
      </w:r>
      <w:r>
        <w:rPr>
          <w:rFonts w:hint="eastAsia"/>
        </w:rPr>
        <w:t>整改</w:t>
      </w:r>
      <w:r>
        <w:t>要求并达到竣工环境保护验收合格条件后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，可以按程序予以公示。</w:t>
      </w:r>
    </w:p>
    <w:p>
      <w:pPr>
        <w:pStyle w:val="4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七、验收人员信息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验收工作组成员名单及信息附后。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233" w:firstLineChars="2587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验收工作组</w:t>
      </w:r>
    </w:p>
    <w:p>
      <w:pPr>
        <w:ind w:firstLine="6233" w:firstLineChars="2587"/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bookmarkStart w:id="0" w:name="_GoBack"/>
      <w:bookmarkEnd w:id="0"/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577249"/>
    <w:multiLevelType w:val="singleLevel"/>
    <w:tmpl w:val="D35772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16F"/>
    <w:rsid w:val="00080282"/>
    <w:rsid w:val="00080A1C"/>
    <w:rsid w:val="0008626B"/>
    <w:rsid w:val="00093807"/>
    <w:rsid w:val="000954DE"/>
    <w:rsid w:val="000A7AED"/>
    <w:rsid w:val="000B5B8D"/>
    <w:rsid w:val="000D4BDF"/>
    <w:rsid w:val="000F2F1E"/>
    <w:rsid w:val="00146BE6"/>
    <w:rsid w:val="00147AA4"/>
    <w:rsid w:val="00147B6D"/>
    <w:rsid w:val="0015226E"/>
    <w:rsid w:val="001567B7"/>
    <w:rsid w:val="00170385"/>
    <w:rsid w:val="00172A27"/>
    <w:rsid w:val="001829B8"/>
    <w:rsid w:val="001A4593"/>
    <w:rsid w:val="001B2C55"/>
    <w:rsid w:val="001D438D"/>
    <w:rsid w:val="001D5F8B"/>
    <w:rsid w:val="001E5859"/>
    <w:rsid w:val="001F504E"/>
    <w:rsid w:val="001F72A7"/>
    <w:rsid w:val="002047D0"/>
    <w:rsid w:val="00225C78"/>
    <w:rsid w:val="00234E59"/>
    <w:rsid w:val="0023777B"/>
    <w:rsid w:val="002444D9"/>
    <w:rsid w:val="00251C4A"/>
    <w:rsid w:val="0026204C"/>
    <w:rsid w:val="00264351"/>
    <w:rsid w:val="002823F3"/>
    <w:rsid w:val="00283751"/>
    <w:rsid w:val="002972B9"/>
    <w:rsid w:val="00297F3C"/>
    <w:rsid w:val="002B709A"/>
    <w:rsid w:val="002C2980"/>
    <w:rsid w:val="002C5EAD"/>
    <w:rsid w:val="002D213D"/>
    <w:rsid w:val="002D7663"/>
    <w:rsid w:val="002E49CF"/>
    <w:rsid w:val="002E7FAC"/>
    <w:rsid w:val="002F04E2"/>
    <w:rsid w:val="002F3153"/>
    <w:rsid w:val="00304E5B"/>
    <w:rsid w:val="00305DA6"/>
    <w:rsid w:val="00306D61"/>
    <w:rsid w:val="003360D6"/>
    <w:rsid w:val="00340D7A"/>
    <w:rsid w:val="0036202A"/>
    <w:rsid w:val="003661B3"/>
    <w:rsid w:val="003710E7"/>
    <w:rsid w:val="003734EF"/>
    <w:rsid w:val="0038736E"/>
    <w:rsid w:val="003957BD"/>
    <w:rsid w:val="003A29EB"/>
    <w:rsid w:val="003A5E41"/>
    <w:rsid w:val="003B37FC"/>
    <w:rsid w:val="003B7F1A"/>
    <w:rsid w:val="003D65EF"/>
    <w:rsid w:val="003F02F0"/>
    <w:rsid w:val="003F5A91"/>
    <w:rsid w:val="0040077A"/>
    <w:rsid w:val="00414612"/>
    <w:rsid w:val="00423167"/>
    <w:rsid w:val="00426487"/>
    <w:rsid w:val="00426FA0"/>
    <w:rsid w:val="004271CF"/>
    <w:rsid w:val="00443A5E"/>
    <w:rsid w:val="00451AD9"/>
    <w:rsid w:val="00453D7F"/>
    <w:rsid w:val="004830F6"/>
    <w:rsid w:val="004A6CAB"/>
    <w:rsid w:val="004B7BA8"/>
    <w:rsid w:val="004E5097"/>
    <w:rsid w:val="004F5459"/>
    <w:rsid w:val="0050529B"/>
    <w:rsid w:val="00525A53"/>
    <w:rsid w:val="0053538F"/>
    <w:rsid w:val="00554771"/>
    <w:rsid w:val="00556613"/>
    <w:rsid w:val="00576F24"/>
    <w:rsid w:val="00586ED8"/>
    <w:rsid w:val="00591978"/>
    <w:rsid w:val="005A2641"/>
    <w:rsid w:val="005A7870"/>
    <w:rsid w:val="005B4091"/>
    <w:rsid w:val="005B6C46"/>
    <w:rsid w:val="005C4CAC"/>
    <w:rsid w:val="005D1407"/>
    <w:rsid w:val="006027D1"/>
    <w:rsid w:val="00604318"/>
    <w:rsid w:val="006059E8"/>
    <w:rsid w:val="0060660C"/>
    <w:rsid w:val="006104D3"/>
    <w:rsid w:val="00623593"/>
    <w:rsid w:val="006373CA"/>
    <w:rsid w:val="00642711"/>
    <w:rsid w:val="00653E79"/>
    <w:rsid w:val="00656D20"/>
    <w:rsid w:val="0066383F"/>
    <w:rsid w:val="00671280"/>
    <w:rsid w:val="0067511F"/>
    <w:rsid w:val="006A19A3"/>
    <w:rsid w:val="006B0DBA"/>
    <w:rsid w:val="006B267D"/>
    <w:rsid w:val="006F5791"/>
    <w:rsid w:val="00701417"/>
    <w:rsid w:val="00702C88"/>
    <w:rsid w:val="00714E0F"/>
    <w:rsid w:val="00720201"/>
    <w:rsid w:val="00747F2B"/>
    <w:rsid w:val="00773C9E"/>
    <w:rsid w:val="007A28E5"/>
    <w:rsid w:val="007A7F51"/>
    <w:rsid w:val="007C0BE8"/>
    <w:rsid w:val="007D77DF"/>
    <w:rsid w:val="00805D77"/>
    <w:rsid w:val="00835ED2"/>
    <w:rsid w:val="0083603B"/>
    <w:rsid w:val="00843A64"/>
    <w:rsid w:val="008814B6"/>
    <w:rsid w:val="008914F6"/>
    <w:rsid w:val="008A275F"/>
    <w:rsid w:val="008C329F"/>
    <w:rsid w:val="008E444F"/>
    <w:rsid w:val="008E7CB5"/>
    <w:rsid w:val="008F078A"/>
    <w:rsid w:val="009079BC"/>
    <w:rsid w:val="00931CC5"/>
    <w:rsid w:val="0094028D"/>
    <w:rsid w:val="009515C0"/>
    <w:rsid w:val="0095282C"/>
    <w:rsid w:val="009703BD"/>
    <w:rsid w:val="0097398A"/>
    <w:rsid w:val="009825B4"/>
    <w:rsid w:val="00994178"/>
    <w:rsid w:val="009D52F2"/>
    <w:rsid w:val="009E04AF"/>
    <w:rsid w:val="00A02933"/>
    <w:rsid w:val="00A61FFD"/>
    <w:rsid w:val="00A64283"/>
    <w:rsid w:val="00A67A22"/>
    <w:rsid w:val="00A819FF"/>
    <w:rsid w:val="00A83E2A"/>
    <w:rsid w:val="00A94973"/>
    <w:rsid w:val="00AA6405"/>
    <w:rsid w:val="00AC0978"/>
    <w:rsid w:val="00AC296D"/>
    <w:rsid w:val="00AD2257"/>
    <w:rsid w:val="00AE16C4"/>
    <w:rsid w:val="00AF5C36"/>
    <w:rsid w:val="00B0113A"/>
    <w:rsid w:val="00B208CD"/>
    <w:rsid w:val="00B36123"/>
    <w:rsid w:val="00B37525"/>
    <w:rsid w:val="00B52A07"/>
    <w:rsid w:val="00B5714F"/>
    <w:rsid w:val="00B846E2"/>
    <w:rsid w:val="00B869C0"/>
    <w:rsid w:val="00B96E1E"/>
    <w:rsid w:val="00BB5C3F"/>
    <w:rsid w:val="00BC456A"/>
    <w:rsid w:val="00BF225B"/>
    <w:rsid w:val="00BF384F"/>
    <w:rsid w:val="00C041E9"/>
    <w:rsid w:val="00C07734"/>
    <w:rsid w:val="00C16CE7"/>
    <w:rsid w:val="00C2664E"/>
    <w:rsid w:val="00C334CA"/>
    <w:rsid w:val="00C354C5"/>
    <w:rsid w:val="00C43926"/>
    <w:rsid w:val="00C51226"/>
    <w:rsid w:val="00C51F91"/>
    <w:rsid w:val="00CB4A70"/>
    <w:rsid w:val="00CB59DD"/>
    <w:rsid w:val="00CD3DA8"/>
    <w:rsid w:val="00CE1247"/>
    <w:rsid w:val="00CE690B"/>
    <w:rsid w:val="00D0439D"/>
    <w:rsid w:val="00D25D05"/>
    <w:rsid w:val="00D435D6"/>
    <w:rsid w:val="00D53203"/>
    <w:rsid w:val="00D571C3"/>
    <w:rsid w:val="00D57ECD"/>
    <w:rsid w:val="00D717AC"/>
    <w:rsid w:val="00DA428D"/>
    <w:rsid w:val="00DD0B26"/>
    <w:rsid w:val="00DD5802"/>
    <w:rsid w:val="00DF2B52"/>
    <w:rsid w:val="00E27DB7"/>
    <w:rsid w:val="00E330C8"/>
    <w:rsid w:val="00E371B9"/>
    <w:rsid w:val="00E45308"/>
    <w:rsid w:val="00E4588E"/>
    <w:rsid w:val="00E5160D"/>
    <w:rsid w:val="00E52524"/>
    <w:rsid w:val="00E775DC"/>
    <w:rsid w:val="00EA34F0"/>
    <w:rsid w:val="00EB0B1F"/>
    <w:rsid w:val="00EB4218"/>
    <w:rsid w:val="00EE6582"/>
    <w:rsid w:val="00EE74FE"/>
    <w:rsid w:val="00EF42C8"/>
    <w:rsid w:val="00EF71B9"/>
    <w:rsid w:val="00F01DF8"/>
    <w:rsid w:val="00F16EFC"/>
    <w:rsid w:val="00F23039"/>
    <w:rsid w:val="00F24544"/>
    <w:rsid w:val="00F30074"/>
    <w:rsid w:val="00F31D6B"/>
    <w:rsid w:val="00F36408"/>
    <w:rsid w:val="00F46FF0"/>
    <w:rsid w:val="00F52CBD"/>
    <w:rsid w:val="00F53509"/>
    <w:rsid w:val="00F71D3D"/>
    <w:rsid w:val="00F741E4"/>
    <w:rsid w:val="00F9055A"/>
    <w:rsid w:val="00F90EFE"/>
    <w:rsid w:val="00F943D5"/>
    <w:rsid w:val="00F94A3A"/>
    <w:rsid w:val="00FA349F"/>
    <w:rsid w:val="00FB38D9"/>
    <w:rsid w:val="00FC359F"/>
    <w:rsid w:val="00FC6DAD"/>
    <w:rsid w:val="00FE58E6"/>
    <w:rsid w:val="02A21B20"/>
    <w:rsid w:val="03F95709"/>
    <w:rsid w:val="14B01B4F"/>
    <w:rsid w:val="177B7435"/>
    <w:rsid w:val="17FD1573"/>
    <w:rsid w:val="18BC2664"/>
    <w:rsid w:val="1F31123C"/>
    <w:rsid w:val="1FA85637"/>
    <w:rsid w:val="228757B3"/>
    <w:rsid w:val="235A18CC"/>
    <w:rsid w:val="25C83485"/>
    <w:rsid w:val="2A824905"/>
    <w:rsid w:val="2B9B7B8E"/>
    <w:rsid w:val="2C19501E"/>
    <w:rsid w:val="2E3E09D3"/>
    <w:rsid w:val="30B77645"/>
    <w:rsid w:val="31562CFF"/>
    <w:rsid w:val="349A31D7"/>
    <w:rsid w:val="382633EA"/>
    <w:rsid w:val="3E961354"/>
    <w:rsid w:val="44CB332D"/>
    <w:rsid w:val="4AAE42BC"/>
    <w:rsid w:val="4B152317"/>
    <w:rsid w:val="4D067CAD"/>
    <w:rsid w:val="4EE95333"/>
    <w:rsid w:val="56A900B2"/>
    <w:rsid w:val="59373F83"/>
    <w:rsid w:val="5EBD2690"/>
    <w:rsid w:val="600848BF"/>
    <w:rsid w:val="63E820D9"/>
    <w:rsid w:val="657C76E0"/>
    <w:rsid w:val="6876664C"/>
    <w:rsid w:val="6A905C68"/>
    <w:rsid w:val="6C977B5A"/>
    <w:rsid w:val="71D24D61"/>
    <w:rsid w:val="724C7E0C"/>
    <w:rsid w:val="76316B44"/>
    <w:rsid w:val="7BB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widowControl/>
      <w:ind w:firstLine="0" w:firstLineChars="0"/>
      <w:jc w:val="center"/>
      <w:outlineLvl w:val="0"/>
    </w:pPr>
    <w:rPr>
      <w:b/>
      <w:color w:val="000000"/>
      <w:kern w:val="0"/>
      <w:sz w:val="30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napToGrid w:val="0"/>
      <w:spacing w:before="50" w:beforeLines="50"/>
      <w:ind w:firstLine="0" w:firstLineChars="0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paragraph" w:styleId="6">
    <w:name w:val="heading 4"/>
    <w:basedOn w:val="1"/>
    <w:next w:val="7"/>
    <w:qFormat/>
    <w:uiPriority w:val="0"/>
    <w:pPr>
      <w:keepNext/>
      <w:keepLines/>
      <w:jc w:val="both"/>
      <w:outlineLvl w:val="3"/>
    </w:pPr>
    <w:rPr>
      <w:b/>
      <w:bCs/>
    </w:rPr>
  </w:style>
  <w:style w:type="paragraph" w:styleId="8">
    <w:name w:val="heading 5"/>
    <w:basedOn w:val="7"/>
    <w:next w:val="1"/>
    <w:qFormat/>
    <w:uiPriority w:val="0"/>
    <w:pPr>
      <w:outlineLvl w:val="4"/>
    </w:p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正文小四"/>
    <w:basedOn w:val="1"/>
    <w:qFormat/>
    <w:uiPriority w:val="0"/>
  </w:style>
  <w:style w:type="paragraph" w:styleId="9">
    <w:name w:val="toc 7"/>
    <w:basedOn w:val="1"/>
    <w:next w:val="1"/>
    <w:qFormat/>
    <w:uiPriority w:val="0"/>
    <w:pPr>
      <w:ind w:left="1440"/>
    </w:pPr>
    <w:rPr>
      <w:sz w:val="18"/>
      <w:szCs w:val="18"/>
    </w:rPr>
  </w:style>
  <w:style w:type="paragraph" w:styleId="10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0"/>
    </w:rPr>
  </w:style>
  <w:style w:type="paragraph" w:styleId="11">
    <w:name w:val="Document Map"/>
    <w:basedOn w:val="1"/>
    <w:qFormat/>
    <w:uiPriority w:val="0"/>
    <w:pPr>
      <w:shd w:val="clear" w:color="auto" w:fill="000080"/>
    </w:pPr>
  </w:style>
  <w:style w:type="paragraph" w:styleId="12">
    <w:name w:val="annotation text"/>
    <w:basedOn w:val="1"/>
    <w:qFormat/>
    <w:uiPriority w:val="0"/>
  </w:style>
  <w:style w:type="paragraph" w:styleId="13">
    <w:name w:val="toc 5"/>
    <w:basedOn w:val="1"/>
    <w:next w:val="1"/>
    <w:qFormat/>
    <w:uiPriority w:val="0"/>
    <w:pPr>
      <w:ind w:left="960"/>
    </w:pPr>
    <w:rPr>
      <w:sz w:val="18"/>
      <w:szCs w:val="18"/>
    </w:rPr>
  </w:style>
  <w:style w:type="paragraph" w:styleId="14">
    <w:name w:val="toc 3"/>
    <w:basedOn w:val="1"/>
    <w:next w:val="1"/>
    <w:qFormat/>
    <w:uiPriority w:val="0"/>
    <w:pPr>
      <w:ind w:left="480"/>
    </w:pPr>
    <w:rPr>
      <w:i/>
      <w:iCs/>
      <w:sz w:val="20"/>
      <w:szCs w:val="20"/>
    </w:rPr>
  </w:style>
  <w:style w:type="paragraph" w:styleId="15">
    <w:name w:val="toc 8"/>
    <w:basedOn w:val="1"/>
    <w:next w:val="1"/>
    <w:qFormat/>
    <w:uiPriority w:val="0"/>
    <w:pPr>
      <w:ind w:left="1680"/>
    </w:pPr>
    <w:rPr>
      <w:sz w:val="18"/>
      <w:szCs w:val="18"/>
    </w:r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8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spacing w:before="50" w:beforeLines="50"/>
    </w:pPr>
    <w:rPr>
      <w:b/>
      <w:bCs/>
      <w:caps/>
      <w:szCs w:val="20"/>
    </w:rPr>
  </w:style>
  <w:style w:type="paragraph" w:styleId="20">
    <w:name w:val="toc 4"/>
    <w:basedOn w:val="1"/>
    <w:next w:val="1"/>
    <w:qFormat/>
    <w:uiPriority w:val="0"/>
    <w:pPr>
      <w:ind w:left="720"/>
    </w:pPr>
    <w:rPr>
      <w:sz w:val="18"/>
      <w:szCs w:val="18"/>
    </w:rPr>
  </w:style>
  <w:style w:type="paragraph" w:styleId="21">
    <w:name w:val="toc 6"/>
    <w:basedOn w:val="1"/>
    <w:next w:val="1"/>
    <w:qFormat/>
    <w:uiPriority w:val="0"/>
    <w:pPr>
      <w:ind w:left="1200"/>
    </w:pPr>
    <w:rPr>
      <w:sz w:val="18"/>
      <w:szCs w:val="18"/>
    </w:rPr>
  </w:style>
  <w:style w:type="paragraph" w:styleId="22">
    <w:name w:val="toc 2"/>
    <w:basedOn w:val="1"/>
    <w:next w:val="1"/>
    <w:qFormat/>
    <w:uiPriority w:val="0"/>
    <w:pPr>
      <w:spacing w:line="360" w:lineRule="exact"/>
      <w:ind w:left="238"/>
    </w:pPr>
    <w:rPr>
      <w:smallCaps/>
      <w:sz w:val="21"/>
      <w:szCs w:val="20"/>
    </w:rPr>
  </w:style>
  <w:style w:type="paragraph" w:styleId="23">
    <w:name w:val="toc 9"/>
    <w:basedOn w:val="1"/>
    <w:next w:val="1"/>
    <w:qFormat/>
    <w:uiPriority w:val="0"/>
    <w:pPr>
      <w:ind w:left="1920"/>
    </w:pPr>
    <w:rPr>
      <w:sz w:val="18"/>
      <w:szCs w:val="18"/>
    </w:rPr>
  </w:style>
  <w:style w:type="paragraph" w:styleId="24">
    <w:name w:val="annotation subject"/>
    <w:basedOn w:val="12"/>
    <w:next w:val="12"/>
    <w:link w:val="33"/>
    <w:qFormat/>
    <w:uiPriority w:val="0"/>
    <w:rPr>
      <w:b/>
      <w:bCs/>
    </w:rPr>
  </w:style>
  <w:style w:type="paragraph" w:styleId="25">
    <w:name w:val="Body Text First Indent"/>
    <w:basedOn w:val="1"/>
    <w:qFormat/>
    <w:uiPriority w:val="0"/>
    <w:pPr>
      <w:spacing w:after="120"/>
      <w:ind w:firstLine="420" w:firstLineChars="100"/>
      <w:jc w:val="both"/>
    </w:pPr>
    <w:rPr>
      <w:rFonts w:ascii="Times New Roman" w:eastAsia="宋体"/>
      <w:sz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0">
    <w:name w:val="0正文"/>
    <w:qFormat/>
    <w:uiPriority w:val="99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customStyle="1" w:styleId="31">
    <w:name w:val="页眉 字符"/>
    <w:link w:val="1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页脚 字符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批注主题 字符"/>
    <w:link w:val="24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paragraph" w:customStyle="1" w:styleId="34">
    <w:name w:val="报告书正文"/>
    <w:basedOn w:val="1"/>
    <w:qFormat/>
    <w:uiPriority w:val="0"/>
    <w:pPr>
      <w:widowControl/>
      <w:ind w:firstLine="480"/>
      <w:jc w:val="both"/>
    </w:pPr>
  </w:style>
  <w:style w:type="paragraph" w:customStyle="1" w:styleId="35">
    <w:name w:val="标题4"/>
    <w:next w:val="7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6">
    <w:name w:val="表格"/>
    <w:qFormat/>
    <w:uiPriority w:val="0"/>
    <w:pPr>
      <w:spacing w:line="360" w:lineRule="exact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表格标题"/>
    <w:next w:val="36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38">
    <w:name w:val="报告表正文"/>
    <w:basedOn w:val="1"/>
    <w:qFormat/>
    <w:uiPriority w:val="0"/>
    <w:pPr>
      <w:spacing w:line="480" w:lineRule="atLeast"/>
      <w:ind w:firstLine="960"/>
    </w:pPr>
  </w:style>
  <w:style w:type="paragraph" w:customStyle="1" w:styleId="39">
    <w:name w:val="报告表标题"/>
    <w:basedOn w:val="1"/>
    <w:next w:val="38"/>
    <w:qFormat/>
    <w:uiPriority w:val="0"/>
    <w:pPr>
      <w:spacing w:before="30" w:beforeLines="30" w:line="480" w:lineRule="exact"/>
      <w:ind w:firstLine="960"/>
    </w:pPr>
    <w:rPr>
      <w:b/>
      <w:bCs/>
    </w:rPr>
  </w:style>
  <w:style w:type="paragraph" w:customStyle="1" w:styleId="40">
    <w:name w:val="表格内容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sz w:val="21"/>
    </w:rPr>
  </w:style>
  <w:style w:type="paragraph" w:customStyle="1" w:styleId="41">
    <w:name w:val="正文修改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42">
    <w:name w:val="C正文"/>
    <w:qFormat/>
    <w:uiPriority w:val="0"/>
    <w:pPr>
      <w:spacing w:line="360" w:lineRule="auto"/>
      <w:ind w:firstLine="562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29615;&#35780;&#25253;&#21578;&#20070;&#27169;&#26495;&#65288;2003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环评报告书模板（2003）.dot</Template>
  <Company>whict</Company>
  <Pages>4</Pages>
  <Words>1222</Words>
  <Characters>1334</Characters>
  <Lines>20</Lines>
  <Paragraphs>5</Paragraphs>
  <TotalTime>8</TotalTime>
  <ScaleCrop>false</ScaleCrop>
  <LinksUpToDate>false</LinksUpToDate>
  <CharactersWithSpaces>1338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2018-11-25T13:36:00Z</dcterms:created>
  <dc:creator>pc</dc:creator>
  <cp:lastModifiedBy>袁伟</cp:lastModifiedBy>
  <dcterms:modified xsi:type="dcterms:W3CDTF">2020-09-25T06:46:09Z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